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4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SALA E VENDITA</w:t>
        <w:tab/>
        <w:tab/>
        <w:t xml:space="preserve">Anno scolastico 2022/23</w:t>
      </w:r>
      <w:r w:rsidDel="00000000" w:rsidR="00000000" w:rsidRPr="00000000">
        <w:rPr>
          <w:rtl w:val="0"/>
        </w:rPr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UDA 1: La cultura alimentare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43" w:line="240" w:lineRule="auto"/>
              <w:ind w:left="0" w:right="113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43" w:line="240" w:lineRule="auto"/>
              <w:ind w:left="0" w:right="113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Individuare le componenti culturali della gastronomia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43" w:line="240" w:lineRule="auto"/>
              <w:ind w:left="0" w:right="113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Individuare gli alimenti in base alle caratteristiche e alle provenienze territoriale.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Collaborare attraverso l’utilizzo di tecniche tradizionali e innovative, alla lavorazione, organizzazione e commercializzazione di prodotti e servizi all’interno delle macro aree di attività che contraddistinguono la filiera, rispondendo adeguatamente alle mutevoli esigenze del contesto produttivo di riferimento.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B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storico sociale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0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3">
            <w:pPr>
              <w:widowControl w:val="1"/>
              <w:ind w:right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cibo come esperienza culturale.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territorio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cucina regionale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 cucine del mondo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103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Valore culturale del cibo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Caratteristiche della cucina regionale, nazionale ed internazionale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Alimenti e piatti delle tradizioni locali, prodotti della tradizione e dell’innovazione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360" w:right="914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8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</w:tc>
      </w:tr>
      <w:tr>
        <w:trPr>
          <w:cantSplit w:val="1"/>
          <w:trHeight w:val="589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5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6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8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elaborare uno schema riguardo la cucina regionale italiana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46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8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3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muojCSxqM6Vaz/R+7Xj6ozgRMA==">AMUW2mWfzINAIzHeAjPnk4nJBd5FLP4oWbm8rHofNK2KZvArKd1NoLxmLYHT6SeZTbdtD9Yz61ryDuFROJp77PIn1loNruBhPfyFdVKC+39a72EUXGC0JFWCTBwddAkFbBydpuwQcPbU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